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附件2：</w:t>
      </w:r>
    </w:p>
    <w:p>
      <w:pPr>
        <w:jc w:val="center"/>
        <w:rPr>
          <w:rFonts w:hint="eastAsia" w:ascii="黑体" w:hAnsi="华文中宋" w:eastAsia="黑体" w:cs="华文中宋"/>
          <w:sz w:val="32"/>
          <w:szCs w:val="32"/>
        </w:rPr>
      </w:pPr>
      <w:r>
        <w:rPr>
          <w:rFonts w:hint="eastAsia" w:ascii="黑体" w:hAnsi="华文中宋" w:eastAsia="黑体" w:cs="华文中宋"/>
          <w:sz w:val="32"/>
          <w:szCs w:val="32"/>
        </w:rPr>
        <w:t>学生星级文明宿舍评比公告栏</w:t>
      </w: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黑体" w:hAnsi="华文中宋" w:eastAsia="黑体" w:cs="华文中宋"/>
          <w:sz w:val="32"/>
          <w:szCs w:val="32"/>
        </w:rPr>
        <w:t>周次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：                                                        </w:t>
      </w:r>
    </w:p>
    <w:tbl>
      <w:tblPr>
        <w:tblStyle w:val="2"/>
        <w:tblW w:w="14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7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宿舍号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评价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结果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授星</w:t>
            </w:r>
          </w:p>
          <w:p>
            <w:pPr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  <w:r>
              <w:rPr>
                <w:rFonts w:hint="eastAsia" w:ascii="仿宋_GB2312" w:hAnsi="华文中宋" w:eastAsia="仿宋_GB2312" w:cs="华文中宋"/>
                <w:sz w:val="15"/>
                <w:szCs w:val="15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15"/>
                <w:szCs w:val="15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  <w:r>
        <w:rPr>
          <w:rFonts w:hint="eastAsia" w:ascii="宋体" w:hAnsi="宋体" w:cs="华文中宋"/>
          <w:b/>
          <w:sz w:val="32"/>
          <w:szCs w:val="32"/>
        </w:rPr>
        <w:t>*</w:t>
      </w:r>
      <w:r>
        <w:rPr>
          <w:rFonts w:hint="eastAsia" w:ascii="宋体" w:hAnsi="宋体" w:cs="华文中宋"/>
          <w:sz w:val="24"/>
        </w:rPr>
        <w:t>备注：宿舍状况评价详情可到辅导员处查询。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2020-11-20T02:29:43Z</dcterms:created>
  <dc:creator>hanhan8387</dc:creator>
  <cp:lastModifiedBy>宝宝扬</cp:lastModifiedBy>
  <dcterms:modified xsi:type="dcterms:W3CDTF">2020-11-20T02:30:37Z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